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B97" w:rsidRPr="00FF7B97" w:rsidRDefault="00FF7B97" w:rsidP="00FF7B9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43FF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</w:t>
      </w:r>
    </w:p>
    <w:p w:rsidR="00CF6719" w:rsidRPr="00FF7B97" w:rsidRDefault="00FF7B97" w:rsidP="00FF7B97">
      <w:pPr>
        <w:jc w:val="center"/>
        <w:rPr>
          <w:b/>
        </w:rPr>
      </w:pPr>
      <w:r>
        <w:rPr>
          <w:b/>
        </w:rPr>
        <w:t xml:space="preserve">СТ </w:t>
      </w:r>
      <w:r w:rsidRPr="00FF7B97">
        <w:rPr>
          <w:b/>
        </w:rPr>
        <w:t xml:space="preserve">РК </w:t>
      </w:r>
      <w:r w:rsidR="002A0746" w:rsidRPr="002A0746">
        <w:rPr>
          <w:b/>
          <w:lang w:val="en-US"/>
        </w:rPr>
        <w:t>IEC</w:t>
      </w:r>
      <w:r w:rsidR="002A0746" w:rsidRPr="002A0746">
        <w:rPr>
          <w:b/>
        </w:rPr>
        <w:t xml:space="preserve"> 62282-3-100 </w:t>
      </w:r>
      <w:r>
        <w:t>«</w:t>
      </w:r>
      <w:r w:rsidR="002A0746" w:rsidRPr="002A0746">
        <w:rPr>
          <w:b/>
        </w:rPr>
        <w:t>Технологии топливных элементов. Часть 3-100. Стационарные энергоустановки на топливных элементах. Безопасность</w:t>
      </w:r>
      <w:r>
        <w:t>»</w:t>
      </w:r>
    </w:p>
    <w:p w:rsidR="00CF6719" w:rsidRDefault="00CF6719" w:rsidP="00CF6719">
      <w:pPr>
        <w:jc w:val="center"/>
        <w:rPr>
          <w:b/>
        </w:rPr>
      </w:pPr>
    </w:p>
    <w:p w:rsidR="00FF7B97" w:rsidRPr="005B43FF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 xml:space="preserve">1 Техническое обоснование разработки стандарта </w:t>
      </w:r>
    </w:p>
    <w:p w:rsidR="00FF7B97" w:rsidRDefault="00FF7B97" w:rsidP="00CF6719">
      <w:pPr>
        <w:jc w:val="center"/>
        <w:rPr>
          <w:b/>
        </w:rPr>
      </w:pPr>
    </w:p>
    <w:p w:rsidR="002A0746" w:rsidRDefault="002A0746" w:rsidP="002A0746">
      <w:pPr>
        <w:ind w:firstLine="567"/>
        <w:jc w:val="both"/>
      </w:pPr>
      <w:r>
        <w:t xml:space="preserve">Разработка документа по стандартизации необходима для оказания поддержки достижению целевых индикаторов Концепции по переходу Республики Казахстан к «зеленой экономике», международных обязательств Казахстана в рамках Парижского Соглашения по климату (сокращение выбросов парниковых газов на 15% к 2030 г.), национальных целей по увеличению доли возобновляемых источников энергии в выработке электроэнергии (6% к 2025 г., 15% к 2030 г., 50% к 2050 г.), национальной цели по достижению углеродной нейтральности к 2060 г., озвученной Президентом Республики Казахстан, К.К. </w:t>
      </w:r>
      <w:proofErr w:type="spellStart"/>
      <w:r>
        <w:t>Токаевым</w:t>
      </w:r>
      <w:proofErr w:type="spellEnd"/>
      <w:r>
        <w:t xml:space="preserve">, в декабре 2020 года. </w:t>
      </w:r>
    </w:p>
    <w:p w:rsidR="002A0746" w:rsidRDefault="002A0746" w:rsidP="002A0746">
      <w:pPr>
        <w:ind w:firstLine="567"/>
        <w:jc w:val="both"/>
      </w:pPr>
      <w:r>
        <w:t xml:space="preserve">Разработка документа по стандартизации необходима для установления требований безопасности к работе </w:t>
      </w:r>
      <w:proofErr w:type="gramStart"/>
      <w:r>
        <w:t>со стационарными энергоустановкам</w:t>
      </w:r>
      <w:proofErr w:type="gramEnd"/>
      <w:r>
        <w:t xml:space="preserve"> на </w:t>
      </w:r>
      <w:proofErr w:type="spellStart"/>
      <w:r>
        <w:t>топливых</w:t>
      </w:r>
      <w:proofErr w:type="spellEnd"/>
      <w:r>
        <w:t xml:space="preserve"> элементах. </w:t>
      </w:r>
    </w:p>
    <w:p w:rsidR="00FF7B97" w:rsidRPr="00FE4AF4" w:rsidRDefault="002A0746" w:rsidP="002A0746">
      <w:pPr>
        <w:ind w:firstLine="567"/>
        <w:jc w:val="both"/>
      </w:pPr>
      <w:r>
        <w:t>В то же время, в законодательном порядке не разработаны и не установлены технологические нормы, нормы безопасности, стандарты качества и технические требования к водородным заправочным станциям, предназначенным для заправки наземных транспортных средств газообразным водородом, используемым в качестве топлива.</w:t>
      </w:r>
    </w:p>
    <w:p w:rsidR="00FF7B97" w:rsidRDefault="00FF7B97" w:rsidP="00CF6719">
      <w:pPr>
        <w:jc w:val="center"/>
        <w:rPr>
          <w:b/>
        </w:rPr>
      </w:pPr>
    </w:p>
    <w:p w:rsidR="00FF7B97" w:rsidRPr="005B43FF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>2 Основа</w:t>
      </w:r>
      <w:r>
        <w:rPr>
          <w:b/>
        </w:rPr>
        <w:t>ние для разработки стандарта</w:t>
      </w:r>
      <w:r w:rsidRPr="005B43FF">
        <w:rPr>
          <w:b/>
        </w:rPr>
        <w:t xml:space="preserve"> с указанием соответствующего задания</w:t>
      </w:r>
    </w:p>
    <w:p w:rsidR="00FF7B97" w:rsidRDefault="00FF7B97" w:rsidP="00CF6719">
      <w:pPr>
        <w:jc w:val="center"/>
        <w:rPr>
          <w:b/>
        </w:rPr>
      </w:pPr>
    </w:p>
    <w:p w:rsidR="00FF7B97" w:rsidRPr="005B43FF" w:rsidRDefault="00FF7B97" w:rsidP="00FF7B97">
      <w:pPr>
        <w:tabs>
          <w:tab w:val="num" w:pos="0"/>
        </w:tabs>
        <w:ind w:firstLine="540"/>
        <w:jc w:val="both"/>
      </w:pPr>
      <w:r w:rsidRPr="005B43FF">
        <w:t>Национальный план стандартизации на 202</w:t>
      </w:r>
      <w:r>
        <w:t>3</w:t>
      </w:r>
      <w:r w:rsidRPr="005B43FF">
        <w:t xml:space="preserve"> год (утвержден приказом Председателя Комитета технического регулирования и метрологии Министерства торговли и интеграции Республики Казахстан от «</w:t>
      </w:r>
      <w:r>
        <w:t>2</w:t>
      </w:r>
      <w:r w:rsidR="002A0746">
        <w:t>0» декабря 2022</w:t>
      </w:r>
      <w:r w:rsidRPr="005B43FF">
        <w:t xml:space="preserve"> года № </w:t>
      </w:r>
      <w:r>
        <w:t>433</w:t>
      </w:r>
      <w:r w:rsidRPr="005B43FF">
        <w:t>-НҚ).</w:t>
      </w:r>
    </w:p>
    <w:p w:rsidR="00FF7B97" w:rsidRDefault="00FF7B97" w:rsidP="00CF6719">
      <w:pPr>
        <w:jc w:val="center"/>
        <w:rPr>
          <w:b/>
        </w:rPr>
      </w:pPr>
    </w:p>
    <w:p w:rsidR="00FF7B97" w:rsidRPr="005B43FF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t>3 Характеристика объекта стандартизации</w:t>
      </w:r>
    </w:p>
    <w:p w:rsidR="00FF7B97" w:rsidRPr="005B43FF" w:rsidRDefault="00FF7B97" w:rsidP="00FF7B97">
      <w:pPr>
        <w:pStyle w:val="3"/>
        <w:shd w:val="clear" w:color="auto" w:fill="auto"/>
        <w:spacing w:before="0" w:after="0" w:line="240" w:lineRule="auto"/>
        <w:ind w:firstLine="567"/>
        <w:jc w:val="both"/>
        <w:rPr>
          <w:b w:val="0"/>
          <w:bCs w:val="0"/>
          <w:color w:val="auto"/>
          <w:sz w:val="24"/>
          <w:szCs w:val="24"/>
        </w:rPr>
      </w:pPr>
    </w:p>
    <w:p w:rsidR="00FE249B" w:rsidRDefault="00FE249B" w:rsidP="00FE249B">
      <w:pPr>
        <w:ind w:firstLine="567"/>
        <w:jc w:val="both"/>
      </w:pPr>
      <w:r>
        <w:t xml:space="preserve">Объектом стандартизации являются стационарные конструктивно законченные, смонтированные в общем корпусе энергоустановки на топливных элементах или энергоустановки на топливных элементах, состоящие из блоков заводской сборки, содержащих интегрированные системы, которые генерируют электроэнергию посредством электрохимических реакций. </w:t>
      </w:r>
    </w:p>
    <w:p w:rsidR="00FE249B" w:rsidRDefault="00FE249B" w:rsidP="00FE249B">
      <w:pPr>
        <w:ind w:firstLine="567"/>
        <w:jc w:val="both"/>
      </w:pPr>
      <w:r>
        <w:t xml:space="preserve">Пилотные проекты по установке данных заправочных устройств планируются крупными компаниями в целях снижения выбросов парниковых газов от деятельности, связанной с транспортировкой. </w:t>
      </w:r>
    </w:p>
    <w:p w:rsidR="00FE249B" w:rsidRDefault="00FE249B" w:rsidP="00FE249B">
      <w:pPr>
        <w:ind w:firstLine="567"/>
        <w:jc w:val="both"/>
      </w:pPr>
      <w:r>
        <w:t>При этом, в рамках реализации Национального плана по стандартизации на 2022 год ведется разработка СТ РК «Водород газообразный. Заправочные станции. Часть 1. Общие требования» в обеспечение Технического регламента Таможенного союза «О безопасности машин и оборудования» (ТР ТС 010/2011), в частности в реализацию статьи 4 и 5, приложения 1 и 2 ТР ТС 010/2011). Предлагаемый стандарт дополнит разрабатываемый стандарт с точки зрения норм безопасности при установке водородных заправочных станций.</w:t>
      </w:r>
    </w:p>
    <w:p w:rsidR="00FF7B97" w:rsidRPr="00FE4AF4" w:rsidRDefault="00FE249B" w:rsidP="00FE249B">
      <w:pPr>
        <w:ind w:firstLine="567"/>
        <w:jc w:val="both"/>
      </w:pPr>
      <w:r>
        <w:t>В то же время, в законодательном порядке не разработаны и не установлены технологические нормы, нормы безопасности, стандарты качества и технические требования к водородным заправочным станциям, предназначенным для заправки наземных транспортных средств газообразным водородом, используемым в качестве топлива</w:t>
      </w:r>
      <w:r w:rsidR="00FF7B97" w:rsidRPr="00FE4AF4">
        <w:t xml:space="preserve">. </w:t>
      </w:r>
    </w:p>
    <w:p w:rsidR="00FF7B97" w:rsidRDefault="00FF7B97" w:rsidP="00CF6719">
      <w:pPr>
        <w:jc w:val="center"/>
        <w:rPr>
          <w:b/>
        </w:rPr>
      </w:pPr>
    </w:p>
    <w:p w:rsidR="00FF7B97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:rsidR="00FF7B97" w:rsidRDefault="00FF7B97" w:rsidP="00CF6719">
      <w:pPr>
        <w:jc w:val="center"/>
        <w:rPr>
          <w:b/>
        </w:rPr>
      </w:pPr>
    </w:p>
    <w:p w:rsidR="00FF7B97" w:rsidRDefault="00FF7B97" w:rsidP="00FF7B97">
      <w:pPr>
        <w:tabs>
          <w:tab w:val="left" w:pos="993"/>
        </w:tabs>
        <w:suppressAutoHyphens/>
        <w:ind w:firstLine="567"/>
        <w:jc w:val="both"/>
        <w:rPr>
          <w:iCs/>
          <w:lang w:val="kk-KZ"/>
        </w:rPr>
      </w:pPr>
      <w:r w:rsidRPr="008473DF">
        <w:rPr>
          <w:iCs/>
          <w:lang w:val="kk-KZ"/>
        </w:rPr>
        <w:t>В настоящем стандарте реализованы нормы Указа Президента Республики Казахстан от 30 мая 2013 года № 577 «О Концепции по переходу Республики Казахстан к «зеленой экономике».</w:t>
      </w:r>
    </w:p>
    <w:p w:rsidR="007B02BA" w:rsidRDefault="007B02BA" w:rsidP="007B02BA">
      <w:pPr>
        <w:tabs>
          <w:tab w:val="left" w:pos="993"/>
        </w:tabs>
        <w:suppressAutoHyphens/>
        <w:ind w:firstLine="567"/>
        <w:jc w:val="both"/>
        <w:rPr>
          <w:rFonts w:eastAsia="Consolas"/>
          <w:bCs/>
        </w:rPr>
      </w:pPr>
      <w:r w:rsidRPr="007777EC">
        <w:rPr>
          <w:rFonts w:eastAsia="Consolas"/>
          <w:bCs/>
        </w:rPr>
        <w:t>Проект национального стандарта взаимосвязан со следующими документами по стандартизации</w:t>
      </w:r>
      <w:r>
        <w:rPr>
          <w:rFonts w:eastAsia="Consolas"/>
          <w:bCs/>
        </w:rPr>
        <w:t>:</w:t>
      </w:r>
    </w:p>
    <w:p w:rsidR="007B02BA" w:rsidRDefault="007B02BA" w:rsidP="007B02BA">
      <w:pPr>
        <w:tabs>
          <w:tab w:val="left" w:pos="993"/>
        </w:tabs>
        <w:suppressAutoHyphens/>
        <w:ind w:firstLine="567"/>
        <w:jc w:val="both"/>
      </w:pPr>
      <w:r>
        <w:rPr>
          <w:iCs/>
        </w:rPr>
        <w:t xml:space="preserve">- </w:t>
      </w:r>
      <w:r w:rsidR="00431F00" w:rsidRPr="0037671C">
        <w:t xml:space="preserve">ГОСТ IEC 60079-2-2013. Взрывоопасные среды. Часть 2. Оборудование с видом </w:t>
      </w:r>
      <w:proofErr w:type="spellStart"/>
      <w:r w:rsidR="00431F00" w:rsidRPr="0037671C">
        <w:t>взрывозащиты</w:t>
      </w:r>
      <w:proofErr w:type="spellEnd"/>
      <w:r w:rsidR="00431F00" w:rsidRPr="0037671C">
        <w:t xml:space="preserve"> «оболочки под избыточным давлением «р»</w:t>
      </w:r>
      <w:r w:rsidR="00431F00"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</w:pPr>
      <w:r>
        <w:t xml:space="preserve">- </w:t>
      </w:r>
      <w:r>
        <w:t>ГОСТ IEC 60079-10-1-2013</w:t>
      </w:r>
      <w:r>
        <w:t xml:space="preserve"> </w:t>
      </w:r>
      <w:r>
        <w:t>Взрывоопасные среды. Часть 10-1. Классификация з</w:t>
      </w:r>
      <w:r>
        <w:t>он. Взрывоопасные газовые среды;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6F51F0">
        <w:rPr>
          <w:lang w:val="kk-KZ"/>
        </w:rPr>
        <w:t>ГОСТ IEC 60079-29-1-2013. Взрывоопасные среды. Часть 29-1. Газоанализаторы. Требования к эксплуатационным характеристикам газоанализаторов горючих газов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</w:pPr>
      <w:r>
        <w:rPr>
          <w:lang w:val="kk-KZ"/>
        </w:rPr>
        <w:t xml:space="preserve">- </w:t>
      </w:r>
      <w:r w:rsidRPr="00F36C6D">
        <w:rPr>
          <w:lang w:val="kk-KZ"/>
        </w:rPr>
        <w:t>ГОСТ IEC 60079-30-1-2011</w:t>
      </w:r>
      <w:r>
        <w:rPr>
          <w:lang w:val="kk-KZ"/>
        </w:rPr>
        <w:t xml:space="preserve"> </w:t>
      </w:r>
      <w:r w:rsidRPr="00F36C6D">
        <w:rPr>
          <w:lang w:val="kk-KZ"/>
        </w:rPr>
        <w:t>Взрывоопасные среды</w:t>
      </w:r>
      <w:r w:rsidRPr="00F36C6D">
        <w:t>. Резистивный распределенный электронагреватель. Часть 30-1</w:t>
      </w:r>
      <w:r>
        <w:rPr>
          <w:lang w:val="en-US"/>
        </w:rPr>
        <w:t xml:space="preserve">. </w:t>
      </w:r>
      <w:r w:rsidRPr="00F36C6D">
        <w:t>Общие технические требования и методы испытаний</w:t>
      </w:r>
      <w: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D81A1A">
        <w:rPr>
          <w:lang w:val="kk-KZ"/>
        </w:rPr>
        <w:t>ГОСТ МЭК 60204-1-2002</w:t>
      </w:r>
      <w:r>
        <w:rPr>
          <w:lang w:val="kk-KZ"/>
        </w:rPr>
        <w:t xml:space="preserve"> </w:t>
      </w:r>
      <w:r w:rsidRPr="002F7C57">
        <w:rPr>
          <w:lang w:val="kk-KZ"/>
        </w:rPr>
        <w:t>Безопасность машин. Электрооборудование машин и механизмов. Часть 1. Общие требования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rPr>
          <w:lang w:val="kk-KZ"/>
        </w:rPr>
        <w:t xml:space="preserve">- </w:t>
      </w:r>
      <w:r w:rsidRPr="00895A7C">
        <w:rPr>
          <w:lang w:val="kk-KZ"/>
        </w:rPr>
        <w:t>ГОСТ IEC 60335-1-2015</w:t>
      </w:r>
      <w:r>
        <w:rPr>
          <w:lang w:val="kk-KZ"/>
        </w:rPr>
        <w:t xml:space="preserve"> </w:t>
      </w:r>
      <w:r w:rsidRPr="00895A7C">
        <w:rPr>
          <w:lang w:val="kk-KZ"/>
        </w:rPr>
        <w:t>Бытовые и аналогичные электрические приборы. Безопасность.Часть 1. Общие требования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rPr>
          <w:lang w:val="kk-KZ"/>
        </w:rPr>
        <w:t xml:space="preserve">- </w:t>
      </w:r>
      <w:r w:rsidRPr="00175E32">
        <w:rPr>
          <w:lang w:val="kk-KZ"/>
        </w:rPr>
        <w:t>ГОСТ IEC 60335-2-51-2012</w:t>
      </w:r>
      <w:r>
        <w:rPr>
          <w:lang w:val="kk-KZ"/>
        </w:rPr>
        <w:t xml:space="preserve"> </w:t>
      </w:r>
      <w:r w:rsidRPr="00175E32">
        <w:rPr>
          <w:lang w:val="kk-KZ"/>
        </w:rPr>
        <w:t>Безопасность бытовых и аналогичных электрических приборов. Часть 2-51. Частные требования к стационарным циркуляционным насосам для отопительных систем и систем водоснабжения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ED63FF">
        <w:rPr>
          <w:lang w:val="kk-KZ"/>
        </w:rPr>
        <w:t>ГОСТ 14254-2015</w:t>
      </w:r>
      <w:r>
        <w:rPr>
          <w:lang w:val="kk-KZ"/>
        </w:rPr>
        <w:t xml:space="preserve"> </w:t>
      </w:r>
      <w:r w:rsidRPr="00ED63FF">
        <w:rPr>
          <w:lang w:val="kk-KZ"/>
        </w:rPr>
        <w:t>Степени защиты, обеспечиваемые оболочками (Код IP)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C36F7E">
        <w:rPr>
          <w:lang w:val="kk-KZ"/>
        </w:rPr>
        <w:t>ГОСТ IEC 60730-1-2016</w:t>
      </w:r>
      <w:r>
        <w:rPr>
          <w:lang w:val="kk-KZ"/>
        </w:rPr>
        <w:t xml:space="preserve"> </w:t>
      </w:r>
      <w:r w:rsidRPr="00C36F7E">
        <w:rPr>
          <w:lang w:val="kk-KZ"/>
        </w:rPr>
        <w:t>Автоматические электрические управляющие устройства. Часть 1. Общие требования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912B6F">
        <w:rPr>
          <w:lang w:val="kk-KZ"/>
        </w:rPr>
        <w:t>ГОСТ IEC 60730-2-5-2012</w:t>
      </w:r>
      <w:r>
        <w:rPr>
          <w:lang w:val="kk-KZ"/>
        </w:rPr>
        <w:t xml:space="preserve"> </w:t>
      </w:r>
      <w:r w:rsidRPr="00912B6F">
        <w:rPr>
          <w:lang w:val="kk-KZ"/>
        </w:rPr>
        <w:t>Автоматические электрические управляющие устройства бытового и аналогичного назначения. Часть 2-5. Дополнительные требования к автоматическим электрическим устройствам управления горелками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3E15C5">
        <w:rPr>
          <w:lang w:val="kk-KZ"/>
        </w:rPr>
        <w:t>ГОСТ IEC 60730-2-6-2014</w:t>
      </w:r>
      <w:r>
        <w:rPr>
          <w:lang w:val="kk-KZ"/>
        </w:rPr>
        <w:t xml:space="preserve"> </w:t>
      </w:r>
      <w:r w:rsidRPr="003E15C5">
        <w:rPr>
          <w:lang w:val="kk-KZ"/>
        </w:rPr>
        <w:t>Автоматические электрические управляющие устройства бытового и аналогичного назначения. Часть 2-6. Частные требования к автоматическим электрическим устройствам управления, датчикам давления, включая требования к механическим характеристикам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5114EC">
        <w:rPr>
          <w:lang w:val="kk-KZ"/>
        </w:rPr>
        <w:t>ГОСТ IEC 60730-2-9-2011</w:t>
      </w:r>
      <w:r>
        <w:rPr>
          <w:lang w:val="kk-KZ"/>
        </w:rPr>
        <w:t xml:space="preserve"> </w:t>
      </w:r>
      <w:r w:rsidRPr="005114EC">
        <w:rPr>
          <w:lang w:val="kk-KZ"/>
        </w:rPr>
        <w:t>Автоматические электрические управляющие устройства бытового и аналогичного назначения. Часть 2-9. Частные требования к термочувствительным управляющим устройствам</w:t>
      </w:r>
      <w:r>
        <w:rPr>
          <w:lang w:val="kk-KZ"/>
        </w:rP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9B28C6">
        <w:rPr>
          <w:lang w:val="kk-KZ"/>
        </w:rPr>
        <w:t>ГОСТ IEC 60950-1-2014</w:t>
      </w:r>
      <w:r>
        <w:rPr>
          <w:lang w:val="kk-KZ"/>
        </w:rPr>
        <w:t xml:space="preserve"> </w:t>
      </w:r>
      <w:r w:rsidRPr="009B28C6">
        <w:rPr>
          <w:lang w:val="kk-KZ"/>
        </w:rPr>
        <w:t>Оборудование информационных технологий. Требования безопасности. Часть 1. Общие требования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C83CE3">
        <w:rPr>
          <w:lang w:val="kk-KZ"/>
        </w:rPr>
        <w:t>ГОСТ IEC 61000-3-2-2021</w:t>
      </w:r>
      <w:r>
        <w:rPr>
          <w:lang w:val="kk-KZ"/>
        </w:rPr>
        <w:t xml:space="preserve"> </w:t>
      </w:r>
      <w:r w:rsidRPr="00C83CE3">
        <w:rPr>
          <w:lang w:val="kk-KZ"/>
        </w:rPr>
        <w:t>Электромагнитная совместимость (ЭМС). Часть 3-2. Нормы. Нормы эмиссии гармонических составляющих тока (оборудование с выходным током не более 16 А на фазу</w:t>
      </w:r>
      <w:r>
        <w:rPr>
          <w:lang w:val="kk-KZ"/>
        </w:rPr>
        <w:t>);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C83CE3">
        <w:rPr>
          <w:lang w:val="kk-KZ"/>
        </w:rPr>
        <w:t>ГОСТ IEC 61000-3-3-2015</w:t>
      </w:r>
      <w:r>
        <w:rPr>
          <w:lang w:val="kk-KZ"/>
        </w:rPr>
        <w:t xml:space="preserve"> </w:t>
      </w:r>
      <w:r w:rsidRPr="00C83CE3">
        <w:rPr>
          <w:lang w:val="kk-KZ"/>
        </w:rPr>
        <w:t>Электромагнитная совместимость (ЭМС). Часть 3-3. Нормы. Ограничение изменений напряжения, колебаний напряжения и фликера в общественных низковольтных системах электроснабжения для оборудования с номинальным током не более 16 А (в одной фазе), подключаемого к сети электропитания без особых условий</w:t>
      </w:r>
      <w:r>
        <w:rPr>
          <w:lang w:val="kk-KZ"/>
        </w:rP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7057D6">
        <w:rPr>
          <w:lang w:val="kk-KZ"/>
        </w:rPr>
        <w:t>ГОСТ IEC/TS 61000-3-5-2013</w:t>
      </w:r>
      <w:r>
        <w:rPr>
          <w:lang w:val="kk-KZ"/>
        </w:rPr>
        <w:t xml:space="preserve"> </w:t>
      </w:r>
      <w:r w:rsidRPr="007057D6">
        <w:rPr>
          <w:lang w:val="kk-KZ"/>
        </w:rPr>
        <w:t>Совместимость технических средств электромагнитная. Ограничение колебаний напряжения и фликера, вызываемых техническими средствами с номинальным током более 75 А, подключаемыми к низковольтным системам электроснабжения. Нормы и методы испытаний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CB656B">
        <w:rPr>
          <w:lang w:val="kk-KZ"/>
        </w:rPr>
        <w:t>ГОСТ IEC 61000-3-11-2022</w:t>
      </w:r>
      <w:r>
        <w:rPr>
          <w:lang w:val="kk-KZ"/>
        </w:rPr>
        <w:t xml:space="preserve"> </w:t>
      </w:r>
      <w:r w:rsidRPr="00CB656B">
        <w:rPr>
          <w:lang w:val="kk-KZ"/>
        </w:rPr>
        <w:t xml:space="preserve">Электромагнитная совместимость (ЭМС). Часть 3-11. Нормы. Ограничение изменений напряжения, колебаний напряжения и фликера в </w:t>
      </w:r>
      <w:r w:rsidRPr="00CB656B">
        <w:rPr>
          <w:lang w:val="kk-KZ"/>
        </w:rPr>
        <w:lastRenderedPageBreak/>
        <w:t>общественных низковольтных системах электроснабжения для оборудования с номинальным током не более 75 А при соблюдении особых условий подключения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CB656B">
        <w:rPr>
          <w:lang w:val="kk-KZ"/>
        </w:rPr>
        <w:t>ГОСТ 30804.6.1-2013</w:t>
      </w:r>
      <w:r>
        <w:rPr>
          <w:lang w:val="kk-KZ"/>
        </w:rPr>
        <w:t xml:space="preserve"> </w:t>
      </w:r>
      <w:r w:rsidRPr="00CB656B">
        <w:rPr>
          <w:lang w:val="kk-KZ"/>
        </w:rPr>
        <w:t>Совместимость технических средств электромагнитная. Устойчивость к электромагнитным помехам технических средств, применяемых в жилых, коммерческих зонах и производственных зонах с малым энергопотреблением. Требования и методы испытаний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C06AE3">
        <w:rPr>
          <w:lang w:val="kk-KZ"/>
        </w:rPr>
        <w:t>ГОСТ 30804.6.2-2013</w:t>
      </w:r>
      <w:r>
        <w:rPr>
          <w:lang w:val="kk-KZ"/>
        </w:rPr>
        <w:t xml:space="preserve"> </w:t>
      </w:r>
      <w:r w:rsidRPr="00C06AE3">
        <w:rPr>
          <w:lang w:val="kk-KZ"/>
        </w:rPr>
        <w:t>Совместимость технических средств электромагнитная. Устойчивость к электромагнитным помехам технических средств, применяемых в промышленных зонах. Требования и методы испытаний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A47AB6">
        <w:rPr>
          <w:lang w:val="kk-KZ"/>
        </w:rPr>
        <w:t>ГОСТ IEC 61000-6-3-2016</w:t>
      </w:r>
      <w:r>
        <w:rPr>
          <w:lang w:val="kk-KZ"/>
        </w:rPr>
        <w:t xml:space="preserve"> </w:t>
      </w:r>
      <w:r w:rsidRPr="00A47AB6">
        <w:rPr>
          <w:lang w:val="kk-KZ"/>
        </w:rPr>
        <w:t>Электромагнитная совместимость (ЭМС). Часть 6-3. Общие стандарты. Стандарт электромагнитной эмиссии для жилых, коммерческих и легких промышленных обстановок</w:t>
      </w:r>
      <w:r>
        <w:rPr>
          <w:lang w:val="kk-KZ"/>
        </w:rP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AD2070">
        <w:rPr>
          <w:lang w:val="kk-KZ"/>
        </w:rPr>
        <w:t>ГОСТ IEC 61000-6-4-2016</w:t>
      </w:r>
      <w:r>
        <w:rPr>
          <w:lang w:val="kk-KZ"/>
        </w:rPr>
        <w:t xml:space="preserve"> </w:t>
      </w:r>
      <w:r w:rsidRPr="00AD2070">
        <w:rPr>
          <w:lang w:val="kk-KZ"/>
        </w:rPr>
        <w:t>Электромагнитная совместимость (ЭМС). Часть 6-4. Общие стандарты. Стандарт электромагнитной эмиссии для промышленных обстановок</w:t>
      </w:r>
      <w:r>
        <w:rPr>
          <w:lang w:val="kk-KZ"/>
        </w:rP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A91AAA">
        <w:rPr>
          <w:lang w:val="kk-KZ"/>
        </w:rPr>
        <w:t>ГОСТ IEC 62040-1-2018</w:t>
      </w:r>
      <w:r>
        <w:rPr>
          <w:lang w:val="kk-KZ"/>
        </w:rPr>
        <w:t xml:space="preserve"> </w:t>
      </w:r>
      <w:r w:rsidRPr="00A91AAA">
        <w:rPr>
          <w:lang w:val="kk-KZ"/>
        </w:rPr>
        <w:t>Системы бесперебойного энергоснабжения (UPS). Часть 1. Общие положения и требования безопасности к UPS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89063C">
        <w:rPr>
          <w:lang w:val="kk-KZ"/>
        </w:rPr>
        <w:t>ГОСТ IEC 62368-1-2014</w:t>
      </w:r>
      <w:r>
        <w:rPr>
          <w:lang w:val="kk-KZ"/>
        </w:rPr>
        <w:t xml:space="preserve"> </w:t>
      </w:r>
      <w:r w:rsidRPr="0089063C">
        <w:rPr>
          <w:lang w:val="kk-KZ"/>
        </w:rPr>
        <w:t>Аудио-, видео</w:t>
      </w:r>
      <w:r>
        <w:rPr>
          <w:lang w:val="kk-KZ"/>
        </w:rPr>
        <w:t xml:space="preserve"> </w:t>
      </w:r>
      <w:r w:rsidRPr="0089063C">
        <w:rPr>
          <w:lang w:val="kk-KZ"/>
        </w:rPr>
        <w:t>- аппаратура, оборудование информационных технологий и техники связи. Часть 1. Требования безопасности</w:t>
      </w:r>
      <w:r>
        <w:rPr>
          <w:lang w:val="kk-KZ"/>
        </w:rP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582F9F">
        <w:rPr>
          <w:lang w:val="kk-KZ"/>
        </w:rPr>
        <w:t>ГОСТ ISO 4413-2016</w:t>
      </w:r>
      <w:r>
        <w:rPr>
          <w:lang w:val="kk-KZ"/>
        </w:rPr>
        <w:t xml:space="preserve"> </w:t>
      </w:r>
      <w:r w:rsidRPr="00582F9F">
        <w:rPr>
          <w:lang w:val="kk-KZ"/>
        </w:rPr>
        <w:t>Гидроприводы. Общие правила и требования безопасности для систем и их компонентов</w:t>
      </w:r>
      <w:r>
        <w:rPr>
          <w:lang w:val="kk-KZ"/>
        </w:rP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8679FE">
        <w:rPr>
          <w:lang w:val="kk-KZ"/>
        </w:rPr>
        <w:t>ГОСТ ISO 4414-2016</w:t>
      </w:r>
      <w:r>
        <w:rPr>
          <w:lang w:val="kk-KZ"/>
        </w:rPr>
        <w:t xml:space="preserve"> </w:t>
      </w:r>
      <w:r w:rsidRPr="008679FE">
        <w:rPr>
          <w:lang w:val="kk-KZ"/>
        </w:rPr>
        <w:t>Пневмоприводы. Общие правила и требования безопасности для систем и их компонентов</w:t>
      </w:r>
      <w:r>
        <w:rPr>
          <w:lang w:val="kk-KZ"/>
        </w:rP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430EF1">
        <w:rPr>
          <w:lang w:val="kk-KZ"/>
        </w:rPr>
        <w:t>СТ РК ИСО 10440-1-2004</w:t>
      </w:r>
      <w:r w:rsidRPr="00430EF1">
        <w:t xml:space="preserve"> </w:t>
      </w:r>
      <w:r w:rsidRPr="00430EF1">
        <w:rPr>
          <w:lang w:val="kk-KZ"/>
        </w:rPr>
        <w:t>Промышленность нефтяная и газовая.</w:t>
      </w:r>
      <w:r>
        <w:rPr>
          <w:lang w:val="kk-KZ"/>
        </w:rPr>
        <w:t xml:space="preserve"> </w:t>
      </w:r>
      <w:r w:rsidRPr="00430EF1">
        <w:rPr>
          <w:lang w:val="kk-KZ"/>
        </w:rPr>
        <w:t>Объемные компрессоры ротационного типа.</w:t>
      </w:r>
      <w:r>
        <w:rPr>
          <w:lang w:val="kk-KZ"/>
        </w:rPr>
        <w:t xml:space="preserve"> </w:t>
      </w:r>
      <w:r w:rsidRPr="00430EF1">
        <w:rPr>
          <w:lang w:val="kk-KZ"/>
        </w:rPr>
        <w:t>Часть 1. Технологические компрессоры (работающие без смазки)</w:t>
      </w:r>
      <w:r>
        <w:rPr>
          <w:lang w:val="kk-KZ"/>
        </w:rP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rPr>
          <w:lang w:val="kk-KZ"/>
        </w:rPr>
        <w:t xml:space="preserve">- </w:t>
      </w:r>
      <w:r w:rsidRPr="00B57832">
        <w:rPr>
          <w:lang w:val="kk-KZ"/>
        </w:rPr>
        <w:t>СТ РК ИСО 10440-2-2004</w:t>
      </w:r>
      <w:r w:rsidRPr="00431F00">
        <w:t xml:space="preserve"> </w:t>
      </w:r>
      <w:r w:rsidRPr="00B57832">
        <w:rPr>
          <w:lang w:val="kk-KZ"/>
        </w:rPr>
        <w:t>Промышленность нефтяная и газовая</w:t>
      </w:r>
      <w:r w:rsidRPr="00431F00">
        <w:t xml:space="preserve">. </w:t>
      </w:r>
      <w:r w:rsidRPr="00B57832">
        <w:rPr>
          <w:lang w:val="kk-KZ"/>
        </w:rPr>
        <w:t>Объёмные компрессоры ротационного типа</w:t>
      </w:r>
      <w:r w:rsidRPr="00F238D4">
        <w:t>.</w:t>
      </w:r>
      <w:r>
        <w:t xml:space="preserve"> </w:t>
      </w:r>
      <w:r w:rsidRPr="00B57832">
        <w:rPr>
          <w:lang w:val="kk-KZ"/>
        </w:rPr>
        <w:t>Часть 2. Компрессоры воздушные в сборе (работающие без смазки)</w:t>
      </w:r>
      <w:r>
        <w:rPr>
          <w:lang w:val="kk-KZ"/>
        </w:rP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</w:pPr>
      <w:r>
        <w:rPr>
          <w:lang w:val="kk-KZ"/>
        </w:rPr>
        <w:t xml:space="preserve">- </w:t>
      </w:r>
      <w:r>
        <w:rPr>
          <w:lang w:val="en-US"/>
        </w:rPr>
        <w:t>C</w:t>
      </w:r>
      <w:r w:rsidRPr="00EE06D4">
        <w:rPr>
          <w:lang w:val="kk-KZ"/>
        </w:rPr>
        <w:t>Т РК ИСО 10442-2004</w:t>
      </w:r>
      <w:r>
        <w:rPr>
          <w:lang w:val="kk-KZ"/>
        </w:rPr>
        <w:t xml:space="preserve"> </w:t>
      </w:r>
      <w:r w:rsidRPr="00EE06D4">
        <w:rPr>
          <w:lang w:val="kk-KZ"/>
        </w:rPr>
        <w:t>Промышленность нефтяная, химическая и газовая.</w:t>
      </w:r>
      <w:r>
        <w:rPr>
          <w:lang w:val="kk-KZ"/>
        </w:rPr>
        <w:t xml:space="preserve"> </w:t>
      </w:r>
      <w:r w:rsidRPr="00EE06D4">
        <w:rPr>
          <w:lang w:val="kk-KZ"/>
        </w:rPr>
        <w:t>Центробежные воздушные блочные компрессоры со встро</w:t>
      </w:r>
      <w:proofErr w:type="spellStart"/>
      <w:r>
        <w:t>енным</w:t>
      </w:r>
      <w:proofErr w:type="spellEnd"/>
      <w:r>
        <w:t xml:space="preserve"> редуктором;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rPr>
          <w:lang w:val="kk-KZ"/>
        </w:rPr>
        <w:t xml:space="preserve">- </w:t>
      </w:r>
      <w:r w:rsidRPr="0083241F">
        <w:rPr>
          <w:lang w:val="kk-KZ"/>
        </w:rPr>
        <w:t>ГОСТ 34343-2017</w:t>
      </w:r>
      <w:r>
        <w:rPr>
          <w:lang w:val="kk-KZ"/>
        </w:rPr>
        <w:t xml:space="preserve"> </w:t>
      </w:r>
      <w:r w:rsidRPr="0083241F">
        <w:rPr>
          <w:lang w:val="kk-KZ"/>
        </w:rPr>
        <w:t>Вентиляторы промышленные. Механическая безопасность вентиляторов. Защитные устройства</w:t>
      </w:r>
      <w:r>
        <w:rPr>
          <w:lang w:val="kk-KZ"/>
        </w:rPr>
        <w:t>;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</w:pPr>
      <w:r>
        <w:rPr>
          <w:lang w:val="kk-KZ"/>
        </w:rPr>
        <w:t xml:space="preserve">- </w:t>
      </w:r>
      <w:r w:rsidRPr="00041ECD">
        <w:rPr>
          <w:lang w:val="kk-KZ"/>
        </w:rPr>
        <w:t>СТ РК ИСО 13631-2004</w:t>
      </w:r>
      <w:r>
        <w:rPr>
          <w:lang w:val="kk-KZ"/>
        </w:rPr>
        <w:t xml:space="preserve"> </w:t>
      </w:r>
      <w:r w:rsidRPr="00041ECD">
        <w:rPr>
          <w:lang w:val="kk-KZ"/>
        </w:rPr>
        <w:t xml:space="preserve"> Промышленность нефтяная и газовая</w:t>
      </w:r>
      <w:r w:rsidRPr="00F238D4">
        <w:t xml:space="preserve">. </w:t>
      </w:r>
      <w:r w:rsidRPr="00041ECD">
        <w:rPr>
          <w:lang w:val="kk-KZ"/>
        </w:rPr>
        <w:t>Агрегатированные поршневые газовые компрессоры</w:t>
      </w:r>
      <w: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201FD0">
        <w:rPr>
          <w:lang w:val="kk-KZ"/>
        </w:rPr>
        <w:t>ГОСТ 31843-2013</w:t>
      </w:r>
      <w:r>
        <w:rPr>
          <w:lang w:val="kk-KZ"/>
        </w:rPr>
        <w:t xml:space="preserve"> </w:t>
      </w:r>
      <w:r w:rsidRPr="00201FD0">
        <w:rPr>
          <w:lang w:val="kk-KZ"/>
        </w:rPr>
        <w:t>Нефтяная и газовая промышленность. Компрессоры поршневые. Общие технические требования</w:t>
      </w:r>
      <w:r>
        <w:rPr>
          <w:lang w:val="kk-KZ"/>
        </w:rP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3F0FED">
        <w:rPr>
          <w:lang w:val="kk-KZ"/>
        </w:rPr>
        <w:t>ГОСТ 32601-2013</w:t>
      </w:r>
      <w:r>
        <w:rPr>
          <w:lang w:val="kk-KZ"/>
        </w:rPr>
        <w:t xml:space="preserve"> </w:t>
      </w:r>
      <w:r w:rsidRPr="003F0FED">
        <w:rPr>
          <w:lang w:val="kk-KZ"/>
        </w:rPr>
        <w:t>Насосы центробежные для нефтяной, нефтехимической и газовой промышленности. Общие технические требования</w:t>
      </w:r>
      <w:r>
        <w:rPr>
          <w:lang w:val="kk-KZ"/>
        </w:rP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2D3DC1">
        <w:rPr>
          <w:lang w:val="kk-KZ"/>
        </w:rPr>
        <w:t>ГОСТ ISO 13849-1-2014</w:t>
      </w:r>
      <w:r>
        <w:rPr>
          <w:lang w:val="kk-KZ"/>
        </w:rPr>
        <w:t xml:space="preserve"> </w:t>
      </w:r>
      <w:r w:rsidRPr="002D3DC1">
        <w:rPr>
          <w:lang w:val="kk-KZ"/>
        </w:rPr>
        <w:t>Безопасность оборудования. Элементы систем управления, связанные с безопасностью. Часть 1. Общие принципы конструирования</w:t>
      </w:r>
      <w:r>
        <w:rPr>
          <w:lang w:val="kk-KZ"/>
        </w:rPr>
        <w:t xml:space="preserve">; </w:t>
      </w:r>
    </w:p>
    <w:p w:rsidR="00431F00" w:rsidRDefault="00431F00" w:rsidP="00431F00">
      <w:pPr>
        <w:tabs>
          <w:tab w:val="left" w:pos="993"/>
        </w:tabs>
        <w:suppressAutoHyphens/>
        <w:ind w:firstLine="567"/>
        <w:jc w:val="both"/>
      </w:pPr>
      <w:r>
        <w:t xml:space="preserve">- </w:t>
      </w:r>
      <w:r>
        <w:rPr>
          <w:lang w:val="kk-KZ"/>
        </w:rPr>
        <w:t xml:space="preserve">ГОСТ </w:t>
      </w:r>
      <w:r>
        <w:rPr>
          <w:lang w:val="en-US"/>
        </w:rPr>
        <w:t>ISO</w:t>
      </w:r>
      <w:r w:rsidRPr="00067AC7">
        <w:t xml:space="preserve"> 13850-2016</w:t>
      </w:r>
      <w:r>
        <w:t xml:space="preserve"> Безопасность машин. Аварийный останов. Принципы конструирования</w:t>
      </w:r>
      <w:r>
        <w:t xml:space="preserve">; </w:t>
      </w:r>
    </w:p>
    <w:p w:rsidR="00431F00" w:rsidRPr="00431F00" w:rsidRDefault="00431F00" w:rsidP="00431F00">
      <w:pPr>
        <w:tabs>
          <w:tab w:val="left" w:pos="993"/>
        </w:tabs>
        <w:suppressAutoHyphens/>
        <w:ind w:firstLine="567"/>
        <w:jc w:val="both"/>
      </w:pPr>
      <w:r>
        <w:t xml:space="preserve">- </w:t>
      </w:r>
      <w:r w:rsidRPr="003F15F2">
        <w:rPr>
          <w:lang w:val="kk-KZ"/>
        </w:rPr>
        <w:t>СТ РК ИСО 15649-2011</w:t>
      </w:r>
      <w:r>
        <w:rPr>
          <w:lang w:val="kk-KZ"/>
        </w:rPr>
        <w:t xml:space="preserve"> </w:t>
      </w:r>
      <w:r w:rsidRPr="003F15F2">
        <w:rPr>
          <w:lang w:val="kk-KZ"/>
        </w:rPr>
        <w:t>Промышленность нефтяная и газовая</w:t>
      </w:r>
      <w:r w:rsidRPr="003D64E5">
        <w:t>.</w:t>
      </w:r>
      <w:r>
        <w:t xml:space="preserve"> </w:t>
      </w:r>
      <w:r w:rsidRPr="003F15F2">
        <w:rPr>
          <w:lang w:val="kk-KZ"/>
        </w:rPr>
        <w:t>Трубопроводы</w:t>
      </w:r>
      <w:r>
        <w:rPr>
          <w:lang w:val="kk-KZ"/>
        </w:rPr>
        <w:t>;</w:t>
      </w:r>
    </w:p>
    <w:p w:rsidR="00431F00" w:rsidRDefault="00EA25E1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2D22C9">
        <w:rPr>
          <w:lang w:val="kk-KZ"/>
        </w:rPr>
        <w:t>ГОСТ ISO 23550-2015</w:t>
      </w:r>
      <w:r>
        <w:rPr>
          <w:lang w:val="kk-KZ"/>
        </w:rPr>
        <w:t xml:space="preserve"> </w:t>
      </w:r>
      <w:r w:rsidRPr="002D22C9">
        <w:rPr>
          <w:lang w:val="kk-KZ"/>
        </w:rPr>
        <w:t>Устройства защиты и управления газовых горелок и аппаратов. Общие требования</w:t>
      </w:r>
      <w:r>
        <w:rPr>
          <w:lang w:val="kk-KZ"/>
        </w:rPr>
        <w:t xml:space="preserve">; </w:t>
      </w:r>
    </w:p>
    <w:p w:rsidR="00EA25E1" w:rsidRDefault="00EA25E1" w:rsidP="00431F00">
      <w:pPr>
        <w:tabs>
          <w:tab w:val="left" w:pos="993"/>
        </w:tabs>
        <w:suppressAutoHyphens/>
        <w:ind w:firstLine="567"/>
        <w:jc w:val="both"/>
        <w:rPr>
          <w:lang w:val="kk-KZ"/>
        </w:rPr>
      </w:pPr>
      <w:r>
        <w:t xml:space="preserve">- </w:t>
      </w:r>
      <w:r w:rsidRPr="0047039D">
        <w:rPr>
          <w:lang w:val="kk-KZ"/>
        </w:rPr>
        <w:t>ГОСТ ISO 23551-1-2015</w:t>
      </w:r>
      <w:r>
        <w:rPr>
          <w:lang w:val="kk-KZ"/>
        </w:rPr>
        <w:t xml:space="preserve"> </w:t>
      </w:r>
      <w:r w:rsidRPr="0047039D">
        <w:rPr>
          <w:lang w:val="kk-KZ"/>
        </w:rPr>
        <w:t>Предохранители и регуляторы для газовых горелок и газосжигательного оборудования. Частные требования. Часть 1. Автоматические и полуавтоматические клапаны</w:t>
      </w:r>
      <w:r>
        <w:rPr>
          <w:lang w:val="kk-KZ"/>
        </w:rPr>
        <w:t>.</w:t>
      </w:r>
    </w:p>
    <w:p w:rsidR="007B02BA" w:rsidRDefault="007B02BA" w:rsidP="00FF7B97">
      <w:pPr>
        <w:tabs>
          <w:tab w:val="left" w:pos="993"/>
        </w:tabs>
        <w:suppressAutoHyphens/>
        <w:ind w:firstLine="567"/>
        <w:jc w:val="both"/>
        <w:rPr>
          <w:iCs/>
        </w:rPr>
      </w:pPr>
    </w:p>
    <w:p w:rsidR="00EA25E1" w:rsidRDefault="00EA25E1" w:rsidP="00FF7B97">
      <w:pPr>
        <w:tabs>
          <w:tab w:val="left" w:pos="993"/>
        </w:tabs>
        <w:suppressAutoHyphens/>
        <w:ind w:firstLine="567"/>
        <w:jc w:val="both"/>
        <w:rPr>
          <w:iCs/>
        </w:rPr>
      </w:pPr>
    </w:p>
    <w:p w:rsidR="00EA25E1" w:rsidRDefault="00EA25E1" w:rsidP="00FF7B97">
      <w:pPr>
        <w:tabs>
          <w:tab w:val="left" w:pos="993"/>
        </w:tabs>
        <w:suppressAutoHyphens/>
        <w:ind w:firstLine="567"/>
        <w:jc w:val="both"/>
        <w:rPr>
          <w:iCs/>
        </w:rPr>
      </w:pPr>
    </w:p>
    <w:p w:rsidR="00EA25E1" w:rsidRPr="00431F00" w:rsidRDefault="00EA25E1" w:rsidP="00FF7B97">
      <w:pPr>
        <w:tabs>
          <w:tab w:val="left" w:pos="993"/>
        </w:tabs>
        <w:suppressAutoHyphens/>
        <w:ind w:firstLine="567"/>
        <w:jc w:val="both"/>
        <w:rPr>
          <w:iCs/>
        </w:rPr>
      </w:pPr>
      <w:bookmarkStart w:id="0" w:name="_GoBack"/>
      <w:bookmarkEnd w:id="0"/>
    </w:p>
    <w:p w:rsidR="00FF7B97" w:rsidRDefault="00FF7B97" w:rsidP="00FF7B97">
      <w:pPr>
        <w:ind w:firstLine="540"/>
        <w:jc w:val="both"/>
        <w:rPr>
          <w:b/>
        </w:rPr>
      </w:pPr>
      <w:r w:rsidRPr="005B43FF">
        <w:rPr>
          <w:b/>
        </w:rPr>
        <w:lastRenderedPageBreak/>
        <w:t>5 Предпо</w:t>
      </w:r>
      <w:r>
        <w:rPr>
          <w:b/>
        </w:rPr>
        <w:t>лагаемые пользователи стандарта</w:t>
      </w:r>
    </w:p>
    <w:p w:rsidR="00EA25E1" w:rsidRDefault="00EA25E1" w:rsidP="00FF7B97">
      <w:pPr>
        <w:ind w:firstLine="540"/>
        <w:jc w:val="both"/>
        <w:rPr>
          <w:b/>
        </w:rPr>
      </w:pPr>
    </w:p>
    <w:p w:rsidR="00FF7B97" w:rsidRPr="00FF7B97" w:rsidRDefault="00FF7B97" w:rsidP="00FF7B97">
      <w:pPr>
        <w:ind w:firstLine="567"/>
        <w:jc w:val="both"/>
      </w:pPr>
      <w:r w:rsidRPr="00FF7B97">
        <w:rPr>
          <w:lang w:val="kk-KZ"/>
        </w:rPr>
        <w:t>Потенциальные пользователи данного стандарта</w:t>
      </w:r>
      <w:r>
        <w:rPr>
          <w:b/>
          <w:lang w:val="kk-KZ"/>
        </w:rPr>
        <w:t xml:space="preserve"> </w:t>
      </w:r>
      <w:r w:rsidRPr="00FE4AF4">
        <w:t>ОЮЛ «Ассоциация автомобильного бизнеса Казахстана»;</w:t>
      </w:r>
      <w:r>
        <w:t xml:space="preserve"> </w:t>
      </w:r>
      <w:r w:rsidRPr="00FE4AF4">
        <w:t>АО «</w:t>
      </w:r>
      <w:proofErr w:type="spellStart"/>
      <w:r w:rsidRPr="00FE4AF4">
        <w:t>Самрук-Энерго</w:t>
      </w:r>
      <w:proofErr w:type="spellEnd"/>
      <w:r w:rsidRPr="00FE4AF4">
        <w:t>»;</w:t>
      </w:r>
      <w:r>
        <w:t xml:space="preserve"> </w:t>
      </w:r>
      <w:r w:rsidRPr="00FE4AF4">
        <w:t>АО НК «</w:t>
      </w:r>
      <w:proofErr w:type="spellStart"/>
      <w:r w:rsidRPr="00FE4AF4">
        <w:t>КазМунайГаз</w:t>
      </w:r>
      <w:proofErr w:type="spellEnd"/>
      <w:r w:rsidRPr="00FE4AF4">
        <w:t>»;</w:t>
      </w:r>
      <w:r>
        <w:t xml:space="preserve"> </w:t>
      </w:r>
      <w:r w:rsidRPr="00FE4AF4">
        <w:t>ТОО «КМГ Инжиниринг»;</w:t>
      </w:r>
      <w:r>
        <w:t xml:space="preserve"> </w:t>
      </w:r>
      <w:r w:rsidRPr="00FE4AF4">
        <w:t>Евразийская группа;</w:t>
      </w:r>
      <w:r>
        <w:t xml:space="preserve"> </w:t>
      </w:r>
      <w:r w:rsidRPr="00FE4AF4">
        <w:t>ТОО «</w:t>
      </w:r>
      <w:r w:rsidRPr="00FF7B97">
        <w:rPr>
          <w:lang w:val="en-US"/>
        </w:rPr>
        <w:t>Green</w:t>
      </w:r>
      <w:r w:rsidRPr="00FF7B97">
        <w:t xml:space="preserve"> </w:t>
      </w:r>
      <w:r w:rsidRPr="00FF7B97">
        <w:rPr>
          <w:lang w:val="en-US"/>
        </w:rPr>
        <w:t>Spark</w:t>
      </w:r>
      <w:r w:rsidRPr="00FE4AF4">
        <w:t xml:space="preserve"> </w:t>
      </w:r>
      <w:r w:rsidRPr="00FF7B97">
        <w:rPr>
          <w:lang w:val="en-US"/>
        </w:rPr>
        <w:t>Limited</w:t>
      </w:r>
      <w:r>
        <w:t>»,</w:t>
      </w:r>
      <w:r w:rsidRPr="00FF7B97">
        <w:t xml:space="preserve"> </w:t>
      </w:r>
      <w:proofErr w:type="spellStart"/>
      <w:r w:rsidRPr="0061748B">
        <w:t>Карачаганак</w:t>
      </w:r>
      <w:proofErr w:type="spellEnd"/>
      <w:r w:rsidRPr="0061748B">
        <w:t xml:space="preserve"> </w:t>
      </w:r>
      <w:proofErr w:type="spellStart"/>
      <w:r w:rsidRPr="0061748B">
        <w:t>Петролиум</w:t>
      </w:r>
      <w:proofErr w:type="spellEnd"/>
      <w:r w:rsidRPr="0061748B">
        <w:t xml:space="preserve"> </w:t>
      </w:r>
      <w:proofErr w:type="spellStart"/>
      <w:r w:rsidRPr="0061748B">
        <w:t>Оперейтинг</w:t>
      </w:r>
      <w:proofErr w:type="spellEnd"/>
      <w:r w:rsidRPr="0061748B">
        <w:t xml:space="preserve"> Б.В.; </w:t>
      </w:r>
      <w:proofErr w:type="spellStart"/>
      <w:r w:rsidRPr="0061748B">
        <w:t>Норт</w:t>
      </w:r>
      <w:proofErr w:type="spellEnd"/>
      <w:r w:rsidRPr="0061748B">
        <w:t xml:space="preserve"> </w:t>
      </w:r>
      <w:proofErr w:type="spellStart"/>
      <w:r w:rsidRPr="0061748B">
        <w:t>Каспиан</w:t>
      </w:r>
      <w:proofErr w:type="spellEnd"/>
      <w:r w:rsidRPr="0061748B">
        <w:t xml:space="preserve"> </w:t>
      </w:r>
      <w:proofErr w:type="spellStart"/>
      <w:r w:rsidRPr="0061748B">
        <w:t>Оперейтинг</w:t>
      </w:r>
      <w:proofErr w:type="spellEnd"/>
      <w:r w:rsidRPr="0061748B">
        <w:t xml:space="preserve"> Компани (NCOC); «Шелл Казахстан Б.В.»</w:t>
      </w:r>
      <w:r>
        <w:t xml:space="preserve"> </w:t>
      </w:r>
      <w:r w:rsidRPr="0061748B">
        <w:t>и другие</w:t>
      </w:r>
      <w:r>
        <w:t xml:space="preserve"> технические комитеты,</w:t>
      </w:r>
      <w:r w:rsidRPr="00C23324">
        <w:t xml:space="preserve"> субъекты национальной системы стандартизации</w:t>
      </w:r>
      <w:r>
        <w:t xml:space="preserve">. </w:t>
      </w:r>
    </w:p>
    <w:p w:rsidR="00FF7B97" w:rsidRPr="00FF7B97" w:rsidRDefault="00FF7B97" w:rsidP="00FF7B97">
      <w:pPr>
        <w:ind w:firstLine="567"/>
        <w:rPr>
          <w:b/>
          <w:lang w:val="kk-KZ"/>
        </w:rPr>
      </w:pPr>
    </w:p>
    <w:p w:rsidR="00E811FF" w:rsidRPr="005B43FF" w:rsidRDefault="00E811FF" w:rsidP="00E811FF">
      <w:pPr>
        <w:ind w:firstLine="540"/>
        <w:jc w:val="both"/>
        <w:rPr>
          <w:b/>
        </w:rPr>
      </w:pPr>
      <w:r w:rsidRPr="005B43FF">
        <w:rPr>
          <w:b/>
        </w:rPr>
        <w:t>6 Сведения о рассылке проекта стандарта на согласование</w:t>
      </w:r>
    </w:p>
    <w:p w:rsidR="00E811FF" w:rsidRPr="005B43FF" w:rsidRDefault="00E811FF" w:rsidP="00E811FF">
      <w:pPr>
        <w:ind w:firstLine="540"/>
        <w:jc w:val="both"/>
        <w:rPr>
          <w:b/>
        </w:rPr>
      </w:pPr>
    </w:p>
    <w:p w:rsidR="00E811FF" w:rsidRPr="005B43FF" w:rsidRDefault="00E811FF" w:rsidP="00E811FF">
      <w:pPr>
        <w:tabs>
          <w:tab w:val="num" w:pos="0"/>
        </w:tabs>
        <w:ind w:firstLine="540"/>
        <w:jc w:val="both"/>
      </w:pPr>
      <w:r w:rsidRPr="005B43FF">
        <w:t>Проект национального стандарта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FF7B97" w:rsidRDefault="00FF7B97" w:rsidP="00CF6719">
      <w:pPr>
        <w:jc w:val="center"/>
        <w:rPr>
          <w:b/>
        </w:rPr>
      </w:pPr>
    </w:p>
    <w:p w:rsidR="00E811FF" w:rsidRPr="005B43FF" w:rsidRDefault="00E811FF" w:rsidP="00E811FF">
      <w:pPr>
        <w:ind w:firstLine="567"/>
        <w:jc w:val="both"/>
        <w:rPr>
          <w:b/>
        </w:rPr>
      </w:pPr>
      <w:r w:rsidRPr="005B43FF">
        <w:rPr>
          <w:b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E811FF" w:rsidRPr="005B43FF" w:rsidRDefault="00E811FF" w:rsidP="00E811FF">
      <w:pPr>
        <w:ind w:firstLine="567"/>
        <w:jc w:val="both"/>
      </w:pPr>
    </w:p>
    <w:p w:rsidR="00E811FF" w:rsidRPr="005B43FF" w:rsidRDefault="00E811FF" w:rsidP="00E811FF">
      <w:pPr>
        <w:tabs>
          <w:tab w:val="num" w:pos="0"/>
        </w:tabs>
        <w:ind w:firstLine="540"/>
        <w:jc w:val="both"/>
      </w:pPr>
      <w:r w:rsidRPr="005B43FF">
        <w:t xml:space="preserve">Настоящий стандарт подготовлен </w:t>
      </w:r>
      <w:r>
        <w:t>на основе</w:t>
      </w:r>
      <w:r>
        <w:rPr>
          <w:lang w:val="kk-KZ"/>
        </w:rPr>
        <w:t xml:space="preserve"> </w:t>
      </w:r>
      <w:r w:rsidR="00FE249B" w:rsidRPr="00FE249B">
        <w:t xml:space="preserve">IEC 62282-3-100:2022 </w:t>
      </w:r>
      <w:proofErr w:type="spellStart"/>
      <w:r w:rsidR="00FE249B" w:rsidRPr="00FE249B">
        <w:t>Fuel</w:t>
      </w:r>
      <w:proofErr w:type="spellEnd"/>
      <w:r w:rsidR="00FE249B" w:rsidRPr="00FE249B">
        <w:t xml:space="preserve"> </w:t>
      </w:r>
      <w:proofErr w:type="spellStart"/>
      <w:r w:rsidR="00FE249B" w:rsidRPr="00FE249B">
        <w:t>cell</w:t>
      </w:r>
      <w:proofErr w:type="spellEnd"/>
      <w:r w:rsidR="00FE249B" w:rsidRPr="00FE249B">
        <w:t xml:space="preserve"> </w:t>
      </w:r>
      <w:proofErr w:type="spellStart"/>
      <w:r w:rsidR="00FE249B" w:rsidRPr="00FE249B">
        <w:t>technologies</w:t>
      </w:r>
      <w:proofErr w:type="spellEnd"/>
      <w:r w:rsidR="00FE249B" w:rsidRPr="00FE249B">
        <w:t xml:space="preserve">. </w:t>
      </w:r>
      <w:r w:rsidR="00FE249B" w:rsidRPr="00FE249B">
        <w:rPr>
          <w:lang w:val="en-US"/>
        </w:rPr>
        <w:t>Part 3-100. Stationary fuel cell power systems. Safety (</w:t>
      </w:r>
      <w:r w:rsidR="00FE249B" w:rsidRPr="00FE249B">
        <w:t>Технологии</w:t>
      </w:r>
      <w:r w:rsidR="00FE249B" w:rsidRPr="00FE249B">
        <w:rPr>
          <w:lang w:val="en-US"/>
        </w:rPr>
        <w:t xml:space="preserve"> </w:t>
      </w:r>
      <w:r w:rsidR="00FE249B" w:rsidRPr="00FE249B">
        <w:t>топливных</w:t>
      </w:r>
      <w:r w:rsidR="00FE249B" w:rsidRPr="00FE249B">
        <w:rPr>
          <w:lang w:val="en-US"/>
        </w:rPr>
        <w:t xml:space="preserve"> </w:t>
      </w:r>
      <w:r w:rsidR="00FE249B" w:rsidRPr="00FE249B">
        <w:t>элементов</w:t>
      </w:r>
      <w:r w:rsidR="00FE249B" w:rsidRPr="00FE249B">
        <w:rPr>
          <w:lang w:val="en-US"/>
        </w:rPr>
        <w:t xml:space="preserve">. </w:t>
      </w:r>
      <w:r w:rsidR="00FE249B" w:rsidRPr="00FE249B">
        <w:t xml:space="preserve">Часть 3-100. </w:t>
      </w:r>
      <w:proofErr w:type="spellStart"/>
      <w:r w:rsidR="00FE249B" w:rsidRPr="00FE249B">
        <w:t>Cтационарные</w:t>
      </w:r>
      <w:proofErr w:type="spellEnd"/>
      <w:r w:rsidR="00FE249B" w:rsidRPr="00FE249B">
        <w:t xml:space="preserve"> энергоустановки на топливных элементах. Безопасность)</w:t>
      </w:r>
      <w:r w:rsidRPr="00E811FF">
        <w:t>.</w:t>
      </w:r>
      <w:r>
        <w:rPr>
          <w:lang w:val="kk-KZ"/>
        </w:rPr>
        <w:t xml:space="preserve"> </w:t>
      </w:r>
      <w:r w:rsidRPr="005B43FF">
        <w:t>Научно-исследовательских и опытно-конструкторских работ не проводилось.</w:t>
      </w:r>
    </w:p>
    <w:p w:rsidR="00FF7B97" w:rsidRDefault="00FF7B97" w:rsidP="00CF6719">
      <w:pPr>
        <w:jc w:val="center"/>
        <w:rPr>
          <w:b/>
        </w:rPr>
      </w:pPr>
    </w:p>
    <w:p w:rsidR="00E811FF" w:rsidRPr="005B43FF" w:rsidRDefault="00E811FF" w:rsidP="00E811FF">
      <w:pPr>
        <w:ind w:firstLine="567"/>
        <w:jc w:val="both"/>
        <w:rPr>
          <w:b/>
        </w:rPr>
      </w:pPr>
      <w:r w:rsidRPr="005B43FF">
        <w:rPr>
          <w:b/>
        </w:rPr>
        <w:t>8 Данные о разработчике и соисполнителях (контактные данные), сроках разработки проекта стандарта</w:t>
      </w:r>
    </w:p>
    <w:p w:rsidR="00E811FF" w:rsidRPr="005B43FF" w:rsidRDefault="00E811FF" w:rsidP="00E811FF">
      <w:pPr>
        <w:ind w:firstLine="540"/>
        <w:jc w:val="both"/>
      </w:pPr>
    </w:p>
    <w:p w:rsidR="00E811FF" w:rsidRPr="005B43FF" w:rsidRDefault="00E811FF" w:rsidP="00E811FF">
      <w:pPr>
        <w:ind w:firstLine="567"/>
        <w:jc w:val="both"/>
      </w:pPr>
      <w:r w:rsidRPr="005B43FF">
        <w:rPr>
          <w:spacing w:val="-6"/>
        </w:rPr>
        <w:t>- РГП на ПХВ «</w:t>
      </w:r>
      <w:r w:rsidRPr="005B43FF">
        <w:t xml:space="preserve">Казахстанский институт стандартизации и метрологии» г. </w:t>
      </w:r>
      <w:r>
        <w:t>Астана</w:t>
      </w:r>
      <w:r w:rsidRPr="005B43FF">
        <w:t xml:space="preserve">, Левый берег, ул. </w:t>
      </w:r>
      <w:r w:rsidRPr="005B43FF">
        <w:rPr>
          <w:lang w:val="kk-KZ"/>
        </w:rPr>
        <w:t>Мәңгілік</w:t>
      </w:r>
      <w:r w:rsidRPr="005B43FF">
        <w:t xml:space="preserve"> ел, дом 11. Тел: 8 (7172) 28-29-99; </w:t>
      </w:r>
    </w:p>
    <w:p w:rsidR="00E811FF" w:rsidRPr="005B43FF" w:rsidRDefault="00E811FF" w:rsidP="00E811FF">
      <w:pPr>
        <w:ind w:firstLine="567"/>
        <w:jc w:val="both"/>
        <w:rPr>
          <w:spacing w:val="-6"/>
        </w:rPr>
      </w:pPr>
      <w:r w:rsidRPr="005B43FF">
        <w:t xml:space="preserve">- </w:t>
      </w:r>
      <w:proofErr w:type="spellStart"/>
      <w:r>
        <w:t>Бокаев</w:t>
      </w:r>
      <w:proofErr w:type="spellEnd"/>
      <w:r>
        <w:t xml:space="preserve"> Алан</w:t>
      </w:r>
      <w:r w:rsidRPr="005B43FF">
        <w:t xml:space="preserve">, </w:t>
      </w:r>
      <w:r w:rsidRPr="005B43FF">
        <w:rPr>
          <w:spacing w:val="-6"/>
        </w:rPr>
        <w:t>Е-</w:t>
      </w:r>
      <w:proofErr w:type="spellStart"/>
      <w:r w:rsidRPr="005B43FF">
        <w:rPr>
          <w:spacing w:val="-6"/>
        </w:rPr>
        <w:t>mail</w:t>
      </w:r>
      <w:proofErr w:type="spellEnd"/>
      <w:r w:rsidRPr="005B43FF">
        <w:rPr>
          <w:spacing w:val="-6"/>
        </w:rPr>
        <w:t>:</w:t>
      </w:r>
      <w:r>
        <w:rPr>
          <w:spacing w:val="-6"/>
        </w:rPr>
        <w:t xml:space="preserve"> </w:t>
      </w:r>
      <w:r>
        <w:rPr>
          <w:spacing w:val="-6"/>
          <w:lang w:val="en-US"/>
        </w:rPr>
        <w:t>a</w:t>
      </w:r>
      <w:r w:rsidRPr="009305DA">
        <w:rPr>
          <w:spacing w:val="-6"/>
        </w:rPr>
        <w:t>.</w:t>
      </w:r>
      <w:proofErr w:type="spellStart"/>
      <w:r>
        <w:rPr>
          <w:spacing w:val="-6"/>
          <w:lang w:val="en-US"/>
        </w:rPr>
        <w:t>bokayev</w:t>
      </w:r>
      <w:proofErr w:type="spellEnd"/>
      <w:r w:rsidRPr="005B43FF">
        <w:rPr>
          <w:shd w:val="clear" w:color="auto" w:fill="FFFFFF"/>
        </w:rPr>
        <w:t>@</w:t>
      </w:r>
      <w:proofErr w:type="spellStart"/>
      <w:r>
        <w:rPr>
          <w:shd w:val="clear" w:color="auto" w:fill="FFFFFF"/>
          <w:lang w:val="en-US"/>
        </w:rPr>
        <w:t>ecojer</w:t>
      </w:r>
      <w:proofErr w:type="spellEnd"/>
      <w:r w:rsidRPr="005B43FF">
        <w:rPr>
          <w:shd w:val="clear" w:color="auto" w:fill="FFFFFF"/>
        </w:rPr>
        <w:t>.</w:t>
      </w:r>
      <w:proofErr w:type="spellStart"/>
      <w:r w:rsidRPr="005B43FF">
        <w:rPr>
          <w:shd w:val="clear" w:color="auto" w:fill="FFFFFF"/>
        </w:rPr>
        <w:t>kz</w:t>
      </w:r>
      <w:proofErr w:type="spellEnd"/>
      <w:r>
        <w:rPr>
          <w:spacing w:val="-6"/>
        </w:rPr>
        <w:t>, Тел/факс: +7 776 </w:t>
      </w:r>
      <w:r w:rsidRPr="009305DA">
        <w:rPr>
          <w:spacing w:val="-6"/>
        </w:rPr>
        <w:t>187 5502</w:t>
      </w:r>
      <w:r w:rsidRPr="005B43FF">
        <w:rPr>
          <w:spacing w:val="-6"/>
        </w:rPr>
        <w:t>.</w:t>
      </w:r>
    </w:p>
    <w:p w:rsidR="00E811FF" w:rsidRPr="005B43FF" w:rsidRDefault="00E811FF" w:rsidP="00E811FF">
      <w:pPr>
        <w:ind w:firstLine="540"/>
        <w:jc w:val="both"/>
      </w:pPr>
      <w:r w:rsidRPr="005B43FF">
        <w:t xml:space="preserve">Срок начала разработки проекта стандарта – </w:t>
      </w:r>
      <w:r>
        <w:t>март</w:t>
      </w:r>
      <w:r w:rsidRPr="005B43FF">
        <w:t xml:space="preserve"> 202</w:t>
      </w:r>
      <w:r>
        <w:t>3</w:t>
      </w:r>
      <w:r w:rsidRPr="005B43FF">
        <w:t xml:space="preserve"> года;</w:t>
      </w:r>
    </w:p>
    <w:p w:rsidR="00E811FF" w:rsidRPr="005B43FF" w:rsidRDefault="00E811FF" w:rsidP="00E811FF">
      <w:pPr>
        <w:ind w:firstLine="540"/>
        <w:jc w:val="both"/>
      </w:pPr>
      <w:r w:rsidRPr="005B43FF">
        <w:t>Срок утверждения проекта стандарта –</w:t>
      </w:r>
      <w:r>
        <w:t xml:space="preserve"> ноябрь </w:t>
      </w:r>
      <w:r w:rsidRPr="005B43FF">
        <w:t>202</w:t>
      </w:r>
      <w:r>
        <w:t>3</w:t>
      </w:r>
      <w:r w:rsidRPr="005B43FF">
        <w:t xml:space="preserve"> года.</w:t>
      </w:r>
    </w:p>
    <w:p w:rsidR="00E811FF" w:rsidRPr="005B43FF" w:rsidRDefault="00E811FF" w:rsidP="00E811FF">
      <w:pPr>
        <w:jc w:val="both"/>
      </w:pPr>
    </w:p>
    <w:p w:rsidR="00E811FF" w:rsidRPr="005B43FF" w:rsidRDefault="00E811FF" w:rsidP="00E81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E811FF" w:rsidRPr="001A4FCE" w:rsidRDefault="00E811FF" w:rsidP="00E811FF">
      <w:pPr>
        <w:ind w:firstLine="567"/>
        <w:rPr>
          <w:b/>
          <w:lang w:eastAsia="x-none"/>
        </w:rPr>
      </w:pPr>
      <w:r w:rsidRPr="001A4FCE">
        <w:rPr>
          <w:b/>
          <w:lang w:eastAsia="x-none"/>
        </w:rPr>
        <w:t>Заместитель</w:t>
      </w:r>
    </w:p>
    <w:p w:rsidR="00E811FF" w:rsidRPr="00E624F6" w:rsidRDefault="00E811FF" w:rsidP="00E811FF">
      <w:pPr>
        <w:ind w:firstLine="567"/>
        <w:rPr>
          <w:lang w:val="kk-KZ"/>
        </w:rPr>
      </w:pPr>
      <w:r>
        <w:rPr>
          <w:b/>
          <w:lang w:eastAsia="x-none"/>
        </w:rPr>
        <w:t>Генерального директора</w:t>
      </w: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</w:r>
      <w:r>
        <w:rPr>
          <w:b/>
          <w:lang w:eastAsia="x-none"/>
        </w:rPr>
        <w:tab/>
        <w:t xml:space="preserve">       Е. Амирханова</w:t>
      </w:r>
    </w:p>
    <w:p w:rsidR="00676FDE" w:rsidRDefault="00676FDE"/>
    <w:sectPr w:rsidR="00676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7098C"/>
    <w:multiLevelType w:val="hybridMultilevel"/>
    <w:tmpl w:val="BE42A5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719"/>
    <w:rsid w:val="002A0746"/>
    <w:rsid w:val="002B6BD3"/>
    <w:rsid w:val="00431F00"/>
    <w:rsid w:val="00676FDE"/>
    <w:rsid w:val="007B02BA"/>
    <w:rsid w:val="00CF6719"/>
    <w:rsid w:val="00E811FF"/>
    <w:rsid w:val="00EA25E1"/>
    <w:rsid w:val="00FE249B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54D4B"/>
  <w15:chartTrackingRefBased/>
  <w15:docId w15:val="{225DF03B-EBC5-4096-8739-A3EAED14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7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719"/>
    <w:pPr>
      <w:ind w:left="720"/>
      <w:contextualSpacing/>
    </w:pPr>
  </w:style>
  <w:style w:type="paragraph" w:styleId="a4">
    <w:name w:val="No Spacing"/>
    <w:uiPriority w:val="1"/>
    <w:qFormat/>
    <w:rsid w:val="00FF7B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">
    <w:name w:val="Основной текст3"/>
    <w:basedOn w:val="a"/>
    <w:qFormat/>
    <w:rsid w:val="00FF7B97"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uppressAutoHyphens/>
      <w:spacing w:before="60" w:after="60" w:line="293" w:lineRule="exact"/>
      <w:jc w:val="right"/>
    </w:pPr>
    <w:rPr>
      <w:b/>
      <w:bCs/>
      <w:color w:val="000000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Alan</cp:lastModifiedBy>
  <cp:revision>10</cp:revision>
  <cp:lastPrinted>2023-05-19T09:10:00Z</cp:lastPrinted>
  <dcterms:created xsi:type="dcterms:W3CDTF">2023-05-19T09:09:00Z</dcterms:created>
  <dcterms:modified xsi:type="dcterms:W3CDTF">2023-05-19T09:54:00Z</dcterms:modified>
</cp:coreProperties>
</file>